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0"/>
        <w:rPr>
          <w:rFonts w:ascii="Times New Roman"/>
          <w:sz w:val="29"/>
        </w:rPr>
      </w:pPr>
    </w:p>
    <w:p>
      <w:pPr>
        <w:spacing w:before="93"/>
        <w:ind w:left="101" w:right="0" w:firstLine="0"/>
        <w:jc w:val="both"/>
        <w:rPr>
          <w:b/>
          <w:sz w:val="39"/>
        </w:rPr>
      </w:pPr>
      <w:r>
        <w:rPr>
          <w:b/>
          <w:sz w:val="39"/>
        </w:rPr>
        <w:t>COMMUNIQUÉ DE PRESSE</w:t>
      </w:r>
    </w:p>
    <w:p>
      <w:pPr>
        <w:pStyle w:val="Heading1"/>
        <w:spacing w:before="281"/>
      </w:pPr>
      <w:r>
        <w:rPr/>
        <w:t>POUR DIFFUSION IMMÉDIATE</w:t>
      </w:r>
    </w:p>
    <w:p>
      <w:pPr>
        <w:pStyle w:val="BodyText"/>
        <w:rPr>
          <w:b/>
        </w:rPr>
      </w:pPr>
    </w:p>
    <w:p>
      <w:pPr>
        <w:spacing w:before="0"/>
        <w:ind w:left="101" w:right="0" w:firstLine="0"/>
        <w:jc w:val="both"/>
        <w:rPr>
          <w:b/>
          <w:sz w:val="24"/>
        </w:rPr>
      </w:pPr>
      <w:r>
        <w:rPr>
          <w:b/>
          <w:sz w:val="24"/>
        </w:rPr>
        <w:t>Élection 2026 : où sont les personnes en situation de handicap?</w:t>
      </w:r>
    </w:p>
    <w:p>
      <w:pPr>
        <w:pStyle w:val="BodyText"/>
        <w:spacing w:before="1"/>
        <w:rPr>
          <w:b/>
        </w:rPr>
      </w:pPr>
    </w:p>
    <w:p>
      <w:pPr>
        <w:spacing w:before="0"/>
        <w:ind w:left="101" w:right="115" w:firstLine="0"/>
        <w:jc w:val="both"/>
        <w:rPr>
          <w:b/>
          <w:sz w:val="24"/>
        </w:rPr>
      </w:pPr>
      <w:r>
        <w:rPr>
          <w:b/>
          <w:sz w:val="24"/>
        </w:rPr>
        <w:t>Montréal,</w:t>
      </w:r>
      <w:r>
        <w:rPr>
          <w:b/>
          <w:spacing w:val="-18"/>
          <w:sz w:val="24"/>
        </w:rPr>
        <w:t> </w:t>
      </w:r>
      <w:r>
        <w:rPr>
          <w:b/>
          <w:spacing w:val="2"/>
          <w:sz w:val="24"/>
        </w:rPr>
        <w:t>le</w:t>
      </w:r>
      <w:r>
        <w:rPr>
          <w:b/>
          <w:spacing w:val="-10"/>
          <w:sz w:val="24"/>
        </w:rPr>
        <w:t> </w:t>
      </w:r>
      <w:r>
        <w:rPr>
          <w:b/>
          <w:sz w:val="24"/>
        </w:rPr>
        <w:t>2</w:t>
      </w:r>
      <w:r>
        <w:rPr>
          <w:b/>
          <w:spacing w:val="-12"/>
          <w:sz w:val="24"/>
        </w:rPr>
        <w:t> </w:t>
      </w:r>
      <w:r>
        <w:rPr>
          <w:b/>
          <w:sz w:val="24"/>
        </w:rPr>
        <w:t>septembre</w:t>
      </w:r>
      <w:r>
        <w:rPr>
          <w:b/>
          <w:spacing w:val="-13"/>
          <w:sz w:val="24"/>
        </w:rPr>
        <w:t> </w:t>
      </w:r>
      <w:r>
        <w:rPr>
          <w:b/>
          <w:sz w:val="24"/>
        </w:rPr>
        <w:t>2026 </w:t>
      </w:r>
      <w:r>
        <w:rPr>
          <w:sz w:val="24"/>
        </w:rPr>
        <w:t>–</w:t>
      </w:r>
      <w:r>
        <w:rPr>
          <w:spacing w:val="-23"/>
          <w:sz w:val="24"/>
        </w:rPr>
        <w:t> </w:t>
      </w:r>
      <w:r>
        <w:rPr>
          <w:sz w:val="24"/>
        </w:rPr>
        <w:t>Après</w:t>
      </w:r>
      <w:r>
        <w:rPr>
          <w:spacing w:val="-11"/>
          <w:sz w:val="24"/>
        </w:rPr>
        <w:t> </w:t>
      </w:r>
      <w:r>
        <w:rPr>
          <w:sz w:val="24"/>
        </w:rPr>
        <w:t>avoir</w:t>
      </w:r>
      <w:r>
        <w:rPr>
          <w:spacing w:val="3"/>
          <w:sz w:val="24"/>
        </w:rPr>
        <w:t> </w:t>
      </w:r>
      <w:r>
        <w:rPr>
          <w:sz w:val="24"/>
        </w:rPr>
        <w:t>analysé</w:t>
      </w:r>
      <w:r>
        <w:rPr>
          <w:spacing w:val="-1"/>
          <w:sz w:val="24"/>
        </w:rPr>
        <w:t> </w:t>
      </w:r>
      <w:r>
        <w:rPr>
          <w:spacing w:val="-3"/>
          <w:sz w:val="24"/>
        </w:rPr>
        <w:t>les</w:t>
      </w:r>
      <w:r>
        <w:rPr>
          <w:spacing w:val="-11"/>
          <w:sz w:val="24"/>
        </w:rPr>
        <w:t> </w:t>
      </w:r>
      <w:r>
        <w:rPr>
          <w:sz w:val="24"/>
        </w:rPr>
        <w:t>plateformes électorales des cinq </w:t>
      </w:r>
      <w:r>
        <w:rPr>
          <w:spacing w:val="-3"/>
          <w:sz w:val="24"/>
        </w:rPr>
        <w:t>principales </w:t>
      </w:r>
      <w:r>
        <w:rPr>
          <w:sz w:val="24"/>
        </w:rPr>
        <w:t>formations </w:t>
      </w:r>
      <w:r>
        <w:rPr>
          <w:spacing w:val="-3"/>
          <w:sz w:val="24"/>
        </w:rPr>
        <w:t>politiques </w:t>
      </w:r>
      <w:r>
        <w:rPr>
          <w:sz w:val="24"/>
        </w:rPr>
        <w:t>québécoises, </w:t>
      </w:r>
      <w:r>
        <w:rPr>
          <w:spacing w:val="-3"/>
          <w:sz w:val="24"/>
        </w:rPr>
        <w:t>la </w:t>
      </w:r>
      <w:r>
        <w:rPr>
          <w:sz w:val="24"/>
        </w:rPr>
        <w:t>Confédération des organismes de personnes handicapées du Québec </w:t>
      </w:r>
      <w:r>
        <w:rPr>
          <w:spacing w:val="-3"/>
          <w:sz w:val="24"/>
        </w:rPr>
        <w:t>(COPHAN) les </w:t>
      </w:r>
      <w:r>
        <w:rPr>
          <w:sz w:val="24"/>
        </w:rPr>
        <w:t>interpelle directement : </w:t>
      </w:r>
      <w:r>
        <w:rPr>
          <w:b/>
          <w:sz w:val="24"/>
        </w:rPr>
        <w:t>quelle place entendent-elles accorder aux personnes en situation de handicap dans leurs engagements</w:t>
      </w:r>
      <w:r>
        <w:rPr>
          <w:b/>
          <w:spacing w:val="9"/>
          <w:sz w:val="24"/>
        </w:rPr>
        <w:t> </w:t>
      </w:r>
      <w:r>
        <w:rPr>
          <w:b/>
          <w:sz w:val="24"/>
        </w:rPr>
        <w:t>électoraux?</w:t>
      </w:r>
    </w:p>
    <w:p>
      <w:pPr>
        <w:pStyle w:val="BodyText"/>
        <w:spacing w:before="1"/>
        <w:rPr>
          <w:b/>
        </w:rPr>
      </w:pPr>
    </w:p>
    <w:p>
      <w:pPr>
        <w:spacing w:before="0"/>
        <w:ind w:left="101" w:right="119" w:firstLine="0"/>
        <w:jc w:val="both"/>
        <w:rPr>
          <w:sz w:val="24"/>
        </w:rPr>
      </w:pPr>
      <w:r>
        <w:rPr>
          <w:b/>
          <w:sz w:val="24"/>
        </w:rPr>
        <w:t>La </w:t>
      </w:r>
      <w:r>
        <w:rPr>
          <w:b/>
          <w:spacing w:val="-3"/>
          <w:sz w:val="24"/>
        </w:rPr>
        <w:t>COPHAN </w:t>
      </w:r>
      <w:r>
        <w:rPr>
          <w:b/>
          <w:sz w:val="24"/>
        </w:rPr>
        <w:t>fait </w:t>
      </w:r>
      <w:r>
        <w:rPr>
          <w:b/>
          <w:spacing w:val="2"/>
          <w:sz w:val="24"/>
        </w:rPr>
        <w:t>le </w:t>
      </w:r>
      <w:r>
        <w:rPr>
          <w:b/>
          <w:sz w:val="24"/>
        </w:rPr>
        <w:t>constat suivant : encore une fois, les personnes en situation de handicap sont laissées </w:t>
      </w:r>
      <w:r>
        <w:rPr>
          <w:b/>
          <w:spacing w:val="-3"/>
          <w:sz w:val="24"/>
        </w:rPr>
        <w:t>pour </w:t>
      </w:r>
      <w:r>
        <w:rPr>
          <w:b/>
          <w:sz w:val="24"/>
        </w:rPr>
        <w:t>compte dans </w:t>
      </w:r>
      <w:r>
        <w:rPr>
          <w:b/>
          <w:spacing w:val="2"/>
          <w:sz w:val="24"/>
        </w:rPr>
        <w:t>le </w:t>
      </w:r>
      <w:r>
        <w:rPr>
          <w:b/>
          <w:sz w:val="24"/>
        </w:rPr>
        <w:t>cadre de cette campagne électorale. </w:t>
      </w:r>
      <w:r>
        <w:rPr>
          <w:spacing w:val="2"/>
          <w:sz w:val="24"/>
        </w:rPr>
        <w:t>Il </w:t>
      </w:r>
      <w:r>
        <w:rPr>
          <w:sz w:val="24"/>
        </w:rPr>
        <w:t>y a </w:t>
      </w:r>
      <w:r>
        <w:rPr>
          <w:spacing w:val="-3"/>
          <w:sz w:val="24"/>
        </w:rPr>
        <w:t>bien quelques </w:t>
      </w:r>
      <w:r>
        <w:rPr>
          <w:sz w:val="24"/>
        </w:rPr>
        <w:t>engagements qui </w:t>
      </w:r>
      <w:r>
        <w:rPr>
          <w:spacing w:val="-3"/>
          <w:sz w:val="24"/>
        </w:rPr>
        <w:t>les </w:t>
      </w:r>
      <w:r>
        <w:rPr>
          <w:sz w:val="24"/>
        </w:rPr>
        <w:t>concernent directement, mais </w:t>
      </w:r>
      <w:r>
        <w:rPr>
          <w:spacing w:val="-3"/>
          <w:sz w:val="24"/>
        </w:rPr>
        <w:t>il n’en </w:t>
      </w:r>
      <w:r>
        <w:rPr>
          <w:sz w:val="24"/>
        </w:rPr>
        <w:t>demeure pas moins </w:t>
      </w:r>
      <w:r>
        <w:rPr>
          <w:spacing w:val="-4"/>
          <w:sz w:val="24"/>
        </w:rPr>
        <w:t>qu’elles </w:t>
      </w:r>
      <w:r>
        <w:rPr>
          <w:sz w:val="24"/>
        </w:rPr>
        <w:t>se retrouvent trop souvent à </w:t>
      </w:r>
      <w:r>
        <w:rPr>
          <w:spacing w:val="-3"/>
          <w:sz w:val="24"/>
        </w:rPr>
        <w:t>la </w:t>
      </w:r>
      <w:r>
        <w:rPr>
          <w:sz w:val="24"/>
        </w:rPr>
        <w:t>périphérie des plateformes électorales.</w:t>
      </w:r>
    </w:p>
    <w:p>
      <w:pPr>
        <w:pStyle w:val="BodyText"/>
        <w:spacing w:before="1"/>
      </w:pPr>
    </w:p>
    <w:p>
      <w:pPr>
        <w:pStyle w:val="BodyText"/>
        <w:spacing w:before="1"/>
        <w:ind w:left="101" w:right="118"/>
        <w:jc w:val="both"/>
      </w:pPr>
      <w:r>
        <w:rPr/>
        <w:t>Construire davantage de logements ne garantit pas </w:t>
      </w:r>
      <w:r>
        <w:rPr>
          <w:spacing w:val="-3"/>
        </w:rPr>
        <w:t>la </w:t>
      </w:r>
      <w:r>
        <w:rPr/>
        <w:t>construction de logements accessibles.</w:t>
      </w:r>
      <w:r>
        <w:rPr>
          <w:spacing w:val="2"/>
        </w:rPr>
        <w:t> </w:t>
      </w:r>
      <w:r>
        <w:rPr/>
        <w:t>Investir</w:t>
      </w:r>
      <w:r>
        <w:rPr>
          <w:spacing w:val="-9"/>
        </w:rPr>
        <w:t> </w:t>
      </w:r>
      <w:r>
        <w:rPr/>
        <w:t>dans</w:t>
      </w:r>
      <w:r>
        <w:rPr>
          <w:spacing w:val="-13"/>
        </w:rPr>
        <w:t> </w:t>
      </w:r>
      <w:r>
        <w:rPr>
          <w:spacing w:val="-3"/>
        </w:rPr>
        <w:t>le</w:t>
      </w:r>
      <w:r>
        <w:rPr>
          <w:spacing w:val="-4"/>
        </w:rPr>
        <w:t> </w:t>
      </w:r>
      <w:r>
        <w:rPr/>
        <w:t>transport</w:t>
      </w:r>
      <w:r>
        <w:rPr>
          <w:spacing w:val="-19"/>
        </w:rPr>
        <w:t> </w:t>
      </w:r>
      <w:r>
        <w:rPr/>
        <w:t>collectif</w:t>
      </w:r>
      <w:r>
        <w:rPr>
          <w:spacing w:val="2"/>
        </w:rPr>
        <w:t> </w:t>
      </w:r>
      <w:r>
        <w:rPr/>
        <w:t>ne</w:t>
      </w:r>
      <w:r>
        <w:rPr>
          <w:spacing w:val="-15"/>
        </w:rPr>
        <w:t> </w:t>
      </w:r>
      <w:r>
        <w:rPr/>
        <w:t>répond</w:t>
      </w:r>
      <w:r>
        <w:rPr>
          <w:spacing w:val="-4"/>
        </w:rPr>
        <w:t> </w:t>
      </w:r>
      <w:r>
        <w:rPr/>
        <w:t>pas</w:t>
      </w:r>
      <w:r>
        <w:rPr>
          <w:spacing w:val="-12"/>
        </w:rPr>
        <w:t> </w:t>
      </w:r>
      <w:r>
        <w:rPr/>
        <w:t>nécessairement</w:t>
      </w:r>
      <w:r>
        <w:rPr>
          <w:spacing w:val="2"/>
        </w:rPr>
        <w:t> </w:t>
      </w:r>
      <w:r>
        <w:rPr/>
        <w:t>aux besoins des personnes qui dépendent du transport adapté. </w:t>
      </w:r>
      <w:r>
        <w:rPr>
          <w:spacing w:val="-3"/>
        </w:rPr>
        <w:t>Développer le </w:t>
      </w:r>
      <w:r>
        <w:rPr/>
        <w:t>soutien à </w:t>
      </w:r>
      <w:r>
        <w:rPr>
          <w:spacing w:val="-3"/>
        </w:rPr>
        <w:t>domicile </w:t>
      </w:r>
      <w:r>
        <w:rPr/>
        <w:t>sans distinguer </w:t>
      </w:r>
      <w:r>
        <w:rPr>
          <w:spacing w:val="-3"/>
        </w:rPr>
        <w:t>les </w:t>
      </w:r>
      <w:r>
        <w:rPr/>
        <w:t>besoins </w:t>
      </w:r>
      <w:r>
        <w:rPr>
          <w:spacing w:val="-4"/>
        </w:rPr>
        <w:t>liés  </w:t>
      </w:r>
      <w:r>
        <w:rPr/>
        <w:t>au </w:t>
      </w:r>
      <w:r>
        <w:rPr>
          <w:spacing w:val="-3"/>
        </w:rPr>
        <w:t>vieillissement </w:t>
      </w:r>
      <w:r>
        <w:rPr/>
        <w:t>de ceux </w:t>
      </w:r>
      <w:r>
        <w:rPr>
          <w:spacing w:val="-3"/>
        </w:rPr>
        <w:t>d’une </w:t>
      </w:r>
      <w:r>
        <w:rPr/>
        <w:t>personne en situation de handicap qui veut </w:t>
      </w:r>
      <w:r>
        <w:rPr>
          <w:spacing w:val="-3"/>
        </w:rPr>
        <w:t>étudier, </w:t>
      </w:r>
      <w:r>
        <w:rPr/>
        <w:t>travailler et participer </w:t>
      </w:r>
      <w:r>
        <w:rPr>
          <w:spacing w:val="-3"/>
        </w:rPr>
        <w:t>pleinement </w:t>
      </w:r>
      <w:r>
        <w:rPr/>
        <w:t>à </w:t>
      </w:r>
      <w:r>
        <w:rPr>
          <w:spacing w:val="-3"/>
        </w:rPr>
        <w:t>la </w:t>
      </w:r>
      <w:r>
        <w:rPr/>
        <w:t>société ne répond pas aux mêmes objectifs</w:t>
      </w:r>
      <w:r>
        <w:rPr>
          <w:spacing w:val="35"/>
        </w:rPr>
        <w:t> </w:t>
      </w:r>
      <w:r>
        <w:rPr/>
        <w:t>d’autonomie.</w:t>
      </w:r>
    </w:p>
    <w:p>
      <w:pPr>
        <w:pStyle w:val="BodyText"/>
        <w:spacing w:before="1"/>
      </w:pPr>
    </w:p>
    <w:p>
      <w:pPr>
        <w:spacing w:before="0"/>
        <w:ind w:left="101" w:right="108" w:firstLine="0"/>
        <w:jc w:val="both"/>
        <w:rPr>
          <w:b/>
          <w:sz w:val="24"/>
        </w:rPr>
      </w:pPr>
      <w:r>
        <w:rPr>
          <w:b/>
          <w:i/>
          <w:sz w:val="24"/>
        </w:rPr>
        <w:t>« Encore une fois, nous constatons que les personnes en situation de </w:t>
      </w:r>
      <w:r>
        <w:rPr>
          <w:b/>
          <w:i/>
          <w:sz w:val="24"/>
        </w:rPr>
        <w:t>handicap ne prennent pas la place qu’elles devraient occuper dans le débat électoral. Elles sont pourtant plus de 1,4 million au Québec — 1 422 000 personnes — soit plus d’une personne sur cinq âgée de 15 ans et plus. On parle beaucoup de logement, de santé, de transport, d’emploi et de coût de la vie. Nous demandons maintenant aux partis de nous dire clairement ce qu’ils proposent pour les personnes en situation de handicap pour chacun de ces enjeux », </w:t>
      </w:r>
      <w:r>
        <w:rPr>
          <w:sz w:val="24"/>
        </w:rPr>
        <w:t>affirme </w:t>
      </w:r>
      <w:r>
        <w:rPr>
          <w:b/>
          <w:sz w:val="24"/>
        </w:rPr>
        <w:t>Paul-Claude Bérubé, directeur général de la COPHAN.</w:t>
      </w:r>
    </w:p>
    <w:p>
      <w:pPr>
        <w:pStyle w:val="BodyText"/>
        <w:spacing w:before="2"/>
        <w:rPr>
          <w:b/>
        </w:rPr>
      </w:pPr>
    </w:p>
    <w:p>
      <w:pPr>
        <w:pStyle w:val="Heading1"/>
        <w:spacing w:before="1"/>
        <w:ind w:right="124"/>
      </w:pPr>
      <w:r>
        <w:rPr/>
        <w:t>La</w:t>
      </w:r>
      <w:r>
        <w:rPr>
          <w:spacing w:val="-12"/>
        </w:rPr>
        <w:t> </w:t>
      </w:r>
      <w:r>
        <w:rPr>
          <w:spacing w:val="-3"/>
        </w:rPr>
        <w:t>COPHAN</w:t>
      </w:r>
      <w:r>
        <w:rPr>
          <w:spacing w:val="6"/>
        </w:rPr>
        <w:t> </w:t>
      </w:r>
      <w:r>
        <w:rPr/>
        <w:t>s’attend</w:t>
      </w:r>
      <w:r>
        <w:rPr>
          <w:spacing w:val="-13"/>
        </w:rPr>
        <w:t> </w:t>
      </w:r>
      <w:r>
        <w:rPr/>
        <w:t>maintenant</w:t>
      </w:r>
      <w:r>
        <w:rPr>
          <w:spacing w:val="-17"/>
        </w:rPr>
        <w:t> </w:t>
      </w:r>
      <w:r>
        <w:rPr/>
        <w:t>à</w:t>
      </w:r>
      <w:r>
        <w:rPr>
          <w:spacing w:val="-1"/>
        </w:rPr>
        <w:t> </w:t>
      </w:r>
      <w:r>
        <w:rPr/>
        <w:t>recevoir</w:t>
      </w:r>
      <w:r>
        <w:rPr>
          <w:spacing w:val="-19"/>
        </w:rPr>
        <w:t> </w:t>
      </w:r>
      <w:r>
        <w:rPr/>
        <w:t>des</w:t>
      </w:r>
      <w:r>
        <w:rPr>
          <w:spacing w:val="-1"/>
        </w:rPr>
        <w:t> </w:t>
      </w:r>
      <w:r>
        <w:rPr/>
        <w:t>réponses</w:t>
      </w:r>
      <w:r>
        <w:rPr>
          <w:spacing w:val="-1"/>
        </w:rPr>
        <w:t> </w:t>
      </w:r>
      <w:r>
        <w:rPr/>
        <w:t>précises</w:t>
      </w:r>
      <w:r>
        <w:rPr>
          <w:spacing w:val="-12"/>
        </w:rPr>
        <w:t> </w:t>
      </w:r>
      <w:r>
        <w:rPr/>
        <w:t>de</w:t>
      </w:r>
      <w:r>
        <w:rPr>
          <w:spacing w:val="-12"/>
        </w:rPr>
        <w:t> </w:t>
      </w:r>
      <w:r>
        <w:rPr>
          <w:spacing w:val="2"/>
        </w:rPr>
        <w:t>la</w:t>
      </w:r>
      <w:r>
        <w:rPr>
          <w:spacing w:val="-12"/>
        </w:rPr>
        <w:t> </w:t>
      </w:r>
      <w:r>
        <w:rPr/>
        <w:t>part des cinq formations politiques d’ici au 14 septembre au plus</w:t>
      </w:r>
      <w:r>
        <w:rPr>
          <w:spacing w:val="32"/>
        </w:rPr>
        <w:t> </w:t>
      </w:r>
      <w:r>
        <w:rPr/>
        <w:t>tard.</w:t>
      </w:r>
    </w:p>
    <w:p>
      <w:pPr>
        <w:pStyle w:val="BodyText"/>
        <w:rPr>
          <w:b/>
        </w:rPr>
      </w:pPr>
    </w:p>
    <w:p>
      <w:pPr>
        <w:spacing w:before="0"/>
        <w:ind w:left="101" w:right="120" w:firstLine="0"/>
        <w:jc w:val="both"/>
        <w:rPr>
          <w:b/>
          <w:sz w:val="24"/>
        </w:rPr>
      </w:pPr>
      <w:r>
        <w:rPr>
          <w:sz w:val="24"/>
        </w:rPr>
        <w:t>La campagne électorale doit permettre d’obtenir ces réponses. </w:t>
      </w:r>
      <w:r>
        <w:rPr>
          <w:b/>
          <w:sz w:val="24"/>
        </w:rPr>
        <w:t>Les personnes en situation de handicap veulent savoir ce que les partis s’engagent concrètement à faire.</w:t>
      </w:r>
    </w:p>
    <w:p>
      <w:pPr>
        <w:spacing w:after="0"/>
        <w:jc w:val="both"/>
        <w:rPr>
          <w:sz w:val="24"/>
        </w:rPr>
        <w:sectPr>
          <w:headerReference w:type="default" r:id="rId5"/>
          <w:footerReference w:type="default" r:id="rId6"/>
          <w:type w:val="continuous"/>
          <w:pgSz w:w="12240" w:h="15840"/>
          <w:pgMar w:header="895" w:footer="1482" w:top="1920" w:bottom="1680" w:left="1700" w:right="1680"/>
        </w:sectPr>
      </w:pPr>
    </w:p>
    <w:p>
      <w:pPr>
        <w:pStyle w:val="BodyText"/>
        <w:rPr>
          <w:b/>
          <w:sz w:val="20"/>
        </w:rPr>
      </w:pPr>
    </w:p>
    <w:p>
      <w:pPr>
        <w:pStyle w:val="BodyText"/>
        <w:rPr>
          <w:b/>
          <w:sz w:val="20"/>
        </w:rPr>
      </w:pPr>
    </w:p>
    <w:p>
      <w:pPr>
        <w:pStyle w:val="BodyText"/>
        <w:spacing w:before="8"/>
        <w:rPr>
          <w:b/>
          <w:sz w:val="21"/>
        </w:rPr>
      </w:pPr>
    </w:p>
    <w:p>
      <w:pPr>
        <w:pStyle w:val="BodyText"/>
        <w:ind w:left="101" w:right="114"/>
        <w:jc w:val="both"/>
      </w:pPr>
      <w:r>
        <w:rPr>
          <w:spacing w:val="-3"/>
        </w:rPr>
        <w:t>Ces </w:t>
      </w:r>
      <w:r>
        <w:rPr/>
        <w:t>réponses et </w:t>
      </w:r>
      <w:r>
        <w:rPr>
          <w:spacing w:val="-3"/>
        </w:rPr>
        <w:t>les </w:t>
      </w:r>
      <w:r>
        <w:rPr/>
        <w:t>nouveaux engagements qui pourraient être annoncés permettront aux personnes en situation de handicap de mieux comparer </w:t>
      </w:r>
      <w:r>
        <w:rPr>
          <w:spacing w:val="-3"/>
        </w:rPr>
        <w:t>les </w:t>
      </w:r>
      <w:r>
        <w:rPr/>
        <w:t>propositions des différentes formations </w:t>
      </w:r>
      <w:r>
        <w:rPr>
          <w:spacing w:val="-3"/>
        </w:rPr>
        <w:t>politiques </w:t>
      </w:r>
      <w:r>
        <w:rPr/>
        <w:t>et de déterminer </w:t>
      </w:r>
      <w:r>
        <w:rPr>
          <w:spacing w:val="-3"/>
        </w:rPr>
        <w:t>celles </w:t>
      </w:r>
      <w:r>
        <w:rPr/>
        <w:t>qui répondent</w:t>
      </w:r>
      <w:r>
        <w:rPr>
          <w:spacing w:val="-7"/>
        </w:rPr>
        <w:t> </w:t>
      </w:r>
      <w:r>
        <w:rPr>
          <w:spacing w:val="-3"/>
        </w:rPr>
        <w:t>le</w:t>
      </w:r>
      <w:r>
        <w:rPr>
          <w:spacing w:val="-2"/>
        </w:rPr>
        <w:t> </w:t>
      </w:r>
      <w:r>
        <w:rPr/>
        <w:t>mieux à</w:t>
      </w:r>
      <w:r>
        <w:rPr>
          <w:spacing w:val="-13"/>
        </w:rPr>
        <w:t> </w:t>
      </w:r>
      <w:r>
        <w:rPr/>
        <w:t>leurs réalités et</w:t>
      </w:r>
      <w:r>
        <w:rPr>
          <w:spacing w:val="-7"/>
        </w:rPr>
        <w:t> </w:t>
      </w:r>
      <w:r>
        <w:rPr/>
        <w:t>à</w:t>
      </w:r>
      <w:r>
        <w:rPr>
          <w:spacing w:val="-13"/>
        </w:rPr>
        <w:t> </w:t>
      </w:r>
      <w:r>
        <w:rPr/>
        <w:t>leurs priorités</w:t>
      </w:r>
      <w:r>
        <w:rPr>
          <w:spacing w:val="-11"/>
        </w:rPr>
        <w:t> </w:t>
      </w:r>
      <w:r>
        <w:rPr/>
        <w:t>avant</w:t>
      </w:r>
      <w:r>
        <w:rPr>
          <w:spacing w:val="-7"/>
        </w:rPr>
        <w:t> </w:t>
      </w:r>
      <w:r>
        <w:rPr/>
        <w:t>d’exercer</w:t>
      </w:r>
      <w:r>
        <w:rPr>
          <w:spacing w:val="3"/>
        </w:rPr>
        <w:t> </w:t>
      </w:r>
      <w:r>
        <w:rPr>
          <w:spacing w:val="-3"/>
        </w:rPr>
        <w:t>leur</w:t>
      </w:r>
      <w:r>
        <w:rPr>
          <w:spacing w:val="-7"/>
        </w:rPr>
        <w:t> </w:t>
      </w:r>
      <w:r>
        <w:rPr/>
        <w:t>droit</w:t>
      </w:r>
      <w:r>
        <w:rPr>
          <w:spacing w:val="4"/>
        </w:rPr>
        <w:t> </w:t>
      </w:r>
      <w:r>
        <w:rPr/>
        <w:t>de vote </w:t>
      </w:r>
      <w:r>
        <w:rPr>
          <w:spacing w:val="-3"/>
        </w:rPr>
        <w:t>le </w:t>
      </w:r>
      <w:r>
        <w:rPr/>
        <w:t>5 octobre</w:t>
      </w:r>
      <w:r>
        <w:rPr>
          <w:spacing w:val="14"/>
        </w:rPr>
        <w:t> </w:t>
      </w:r>
      <w:r>
        <w:rPr/>
        <w:t>prochain.</w:t>
      </w:r>
    </w:p>
    <w:p>
      <w:pPr>
        <w:pStyle w:val="BodyText"/>
        <w:spacing w:before="1"/>
      </w:pPr>
    </w:p>
    <w:p>
      <w:pPr>
        <w:pStyle w:val="BodyText"/>
        <w:ind w:left="101"/>
        <w:jc w:val="both"/>
      </w:pPr>
      <w:r>
        <w:rPr/>
        <w:t>Les cinq analyses de la COPHAN sont disponibles sur son site Web.</w:t>
      </w:r>
    </w:p>
    <w:p>
      <w:pPr>
        <w:pStyle w:val="BodyText"/>
        <w:spacing w:before="1"/>
      </w:pPr>
    </w:p>
    <w:p>
      <w:pPr>
        <w:pStyle w:val="Heading1"/>
        <w:ind w:left="4074" w:right="4078"/>
        <w:jc w:val="center"/>
      </w:pPr>
      <w:r>
        <w:rPr/>
        <w:t>– 30 –</w:t>
      </w:r>
    </w:p>
    <w:p>
      <w:pPr>
        <w:pStyle w:val="BodyText"/>
        <w:rPr>
          <w:b/>
        </w:rPr>
      </w:pPr>
    </w:p>
    <w:p>
      <w:pPr>
        <w:spacing w:before="0"/>
        <w:ind w:left="101" w:right="0" w:firstLine="0"/>
        <w:jc w:val="both"/>
        <w:rPr>
          <w:b/>
          <w:sz w:val="24"/>
        </w:rPr>
      </w:pPr>
      <w:r>
        <w:rPr>
          <w:b/>
          <w:sz w:val="24"/>
        </w:rPr>
        <w:t>Source et renseignements :</w:t>
      </w:r>
    </w:p>
    <w:p>
      <w:pPr>
        <w:spacing w:before="1"/>
        <w:ind w:left="101" w:right="130" w:firstLine="0"/>
        <w:jc w:val="both"/>
        <w:rPr>
          <w:b/>
          <w:sz w:val="24"/>
        </w:rPr>
      </w:pPr>
      <w:r>
        <w:rPr>
          <w:b/>
          <w:sz w:val="24"/>
        </w:rPr>
        <w:t>Confédération des organismes de personnes handicapées du Québec (COPHAN)</w:t>
      </w:r>
    </w:p>
    <w:p>
      <w:pPr>
        <w:pStyle w:val="BodyText"/>
        <w:ind w:left="101" w:right="5042"/>
      </w:pPr>
      <w:r>
        <w:rPr/>
        <w:t>7000, avenue du Parc, bureau 407 Montréal (Québec) H3N 1X1</w:t>
      </w:r>
    </w:p>
    <w:p>
      <w:pPr>
        <w:pStyle w:val="BodyText"/>
        <w:ind w:left="101"/>
      </w:pPr>
      <w:r>
        <w:rPr/>
        <w:t>Paul-Claude Bérubé, directeur général,</w:t>
      </w:r>
    </w:p>
    <w:p>
      <w:pPr>
        <w:pStyle w:val="BodyText"/>
        <w:ind w:left="101"/>
      </w:pPr>
      <w:r>
        <w:rPr>
          <w:rFonts w:ascii="Times New Roman"/>
          <w:color w:val="4471C4"/>
          <w:spacing w:val="-60"/>
          <w:u w:val="single" w:color="4471C4"/>
        </w:rPr>
        <w:t> </w:t>
      </w:r>
      <w:hyperlink r:id="rId7">
        <w:r>
          <w:rPr>
            <w:color w:val="4471C4"/>
            <w:u w:val="single" w:color="4471C4"/>
          </w:rPr>
          <w:t>direction@cophan.org</w:t>
        </w:r>
      </w:hyperlink>
    </w:p>
    <w:sectPr>
      <w:pgSz w:w="12240" w:h="15840"/>
      <w:pgMar w:header="895" w:footer="1482" w:top="1920" w:bottom="1680" w:left="170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3.350006pt;margin-top:708.236633pt;width:285.5pt;height:.1pt;mso-position-horizontal-relative:page;mso-position-vertical-relative:page;z-index:-251731968" coordorigin="3267,14165" coordsize="5710,0" path="m3267,14165l4995,14165m5007,14165l5295,14165m5306,14165l5690,14165m5702,14165l5990,14165m6002,14165l6290,14165m6302,14165l6686,14165m6698,14165l6986,14165m6998,14165l7381,14165m7393,14165l7681,14165m7693,14165l7981,14165m7993,14165l8377,14165m8389,14165l8677,14165m8689,14165l8977,14165e" filled="false" stroked="true" strokeweight=".662363pt" strokecolor="#000000">
          <v:path arrowok="t"/>
          <v:stroke dashstyle="solid"/>
          <w10:wrap type="none"/>
        </v:shape>
      </w:pict>
    </w:r>
    <w:r>
      <w:rPr/>
      <w:pict>
        <v:shapetype id="_x0000_t202" o:spt="202" coordsize="21600,21600" path="m,l,21600r21600,l21600,xe">
          <v:stroke joinstyle="miter"/>
          <v:path gradientshapeok="t" o:connecttype="rect"/>
        </v:shapetype>
        <v:shape style="position:absolute;margin-left:162.949997pt;margin-top:710.202515pt;width:286.7pt;height:33.15pt;mso-position-horizontal-relative:page;mso-position-vertical-relative:page;z-index:-251730944" type="#_x0000_t202" filled="false" stroked="false">
          <v:textbox inset="0,0,0,0">
            <w:txbxContent>
              <w:p>
                <w:pPr>
                  <w:spacing w:line="235" w:lineRule="auto" w:before="0"/>
                  <w:ind w:left="20" w:right="18" w:firstLine="3"/>
                  <w:jc w:val="center"/>
                  <w:rPr>
                    <w:sz w:val="18"/>
                  </w:rPr>
                </w:pPr>
                <w:r>
                  <w:rPr>
                    <w:rFonts w:ascii="Calibri" w:hAnsi="Calibri"/>
                    <w:sz w:val="20"/>
                  </w:rPr>
                  <w:t>7000, Avenue du Parc, Suite 407, Montréal (Québec), </w:t>
                </w:r>
                <w:r>
                  <w:rPr>
                    <w:sz w:val="18"/>
                  </w:rPr>
                  <w:t>H3N 1X1 Montréal : 514-284-0155 poste 101 / Québec :581-741-8155 poste 101 adresse courriel :</w:t>
                </w:r>
                <w:hyperlink r:id="rId1">
                  <w:r>
                    <w:rPr>
                      <w:color w:val="0000FF"/>
                      <w:sz w:val="18"/>
                      <w:u w:val="single" w:color="0000FF"/>
                    </w:rPr>
                    <w:t> direction@cophan.org</w:t>
                  </w:r>
                </w:hyperlink>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51583488">
          <wp:simplePos x="0" y="0"/>
          <wp:positionH relativeFrom="page">
            <wp:posOffset>2516809</wp:posOffset>
          </wp:positionH>
          <wp:positionV relativeFrom="page">
            <wp:posOffset>568319</wp:posOffset>
          </wp:positionV>
          <wp:extent cx="2671167" cy="653067"/>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2671167" cy="653067"/>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fr-FR" w:bidi="fr-FR"/>
    </w:rPr>
  </w:style>
  <w:style w:styleId="BodyText" w:type="paragraph">
    <w:name w:val="Body Text"/>
    <w:basedOn w:val="Normal"/>
    <w:uiPriority w:val="1"/>
    <w:qFormat/>
    <w:pPr/>
    <w:rPr>
      <w:rFonts w:ascii="Arial" w:hAnsi="Arial" w:eastAsia="Arial" w:cs="Arial"/>
      <w:sz w:val="24"/>
      <w:szCs w:val="24"/>
      <w:lang w:val="fr-FR" w:eastAsia="fr-FR" w:bidi="fr-FR"/>
    </w:rPr>
  </w:style>
  <w:style w:styleId="Heading1" w:type="paragraph">
    <w:name w:val="Heading 1"/>
    <w:basedOn w:val="Normal"/>
    <w:uiPriority w:val="1"/>
    <w:qFormat/>
    <w:pPr>
      <w:ind w:left="101"/>
      <w:jc w:val="both"/>
      <w:outlineLvl w:val="1"/>
    </w:pPr>
    <w:rPr>
      <w:rFonts w:ascii="Arial" w:hAnsi="Arial" w:eastAsia="Arial" w:cs="Arial"/>
      <w:b/>
      <w:bCs/>
      <w:sz w:val="24"/>
      <w:szCs w:val="24"/>
      <w:lang w:val="fr-FR" w:eastAsia="fr-FR" w:bidi="fr-FR"/>
    </w:rPr>
  </w:style>
  <w:style w:styleId="ListParagraph" w:type="paragraph">
    <w:name w:val="List Paragraph"/>
    <w:basedOn w:val="Normal"/>
    <w:uiPriority w:val="1"/>
    <w:qFormat/>
    <w:pPr/>
    <w:rPr>
      <w:lang w:val="fr-FR" w:eastAsia="fr-FR" w:bidi="fr-FR"/>
    </w:rPr>
  </w:style>
  <w:style w:styleId="TableParagraph" w:type="paragraph">
    <w:name w:val="Table Paragraph"/>
    <w:basedOn w:val="Normal"/>
    <w:uiPriority w:val="1"/>
    <w:qFormat/>
    <w:pPr/>
    <w:rPr>
      <w:lang w:val="fr-FR" w:eastAsia="fr-FR" w:bidi="fr-F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direction@cophan.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irection@coph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Paul-Claude Bérubé</dc:creator>
  <dcterms:created xsi:type="dcterms:W3CDTF">2026-09-08T19:08:10Z</dcterms:created>
  <dcterms:modified xsi:type="dcterms:W3CDTF">2026-09-08T19:08:10Z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2026-09-02T00:00:00Z</vt:filetime>
  </property>
  <property fmtid="{D5CDD505-2E9C-101B-9397-08002B2CF9AE}" pid="3" name="Creator">
    <vt:lpwstr>Microsoft® Word for Microsoft 365</vt:lpwstr>
  </property>
  <property fmtid="{D5CDD505-2E9C-101B-9397-08002B2CF9AE}" pid="4" name="LastSaved">
    <vt:filetime>2026-09-08T00:00:00Z</vt:filetime>
  </property>
</Properties>
</file>